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145</w:t>
      </w:r>
    </w:p>
    <w:p>
      <w:r>
        <w:t>Bundesgericht (BGE), 2007-06-06, DE</w:t>
      </w:r>
    </w:p>
    <w:p>
      <w:r>
        <w:rPr>
          <w:b/>
        </w:rPr>
        <w:t xml:space="preserve">Quelle: </w:t>
      </w:r>
      <w:r>
        <w:t>https://mcp.opencaselaw.ch/entscheid/bge_134 III 145</w:t>
      </w:r>
    </w:p>
    <w:p>
      <w:r>
        <w:t>FR: ATF 134 III 145</w:t>
      </w:r>
    </w:p>
    <w:p>
      <w:r>
        <w:t>IT: DTF 134 III 145</w:t>
      </w:r>
    </w:p>
    <w:p>
      <w:pPr>
        <w:pStyle w:val="Heading2"/>
      </w:pPr>
      <w:r>
        <w:t>Regeste</w:t>
      </w:r>
    </w:p>
    <w:p>
      <w:r>
        <w:t>Regeste Art. 125 ZGB; nachehelicher Unterhalt. Vorgehen zur Unterhaltsbestimmung bei lebensprägender Ehe (E. 4).</w:t>
      </w:r>
    </w:p>
    <w:p>
      <w:pPr>
        <w:pStyle w:val="Heading2"/>
      </w:pPr>
      <w:r>
        <w:t>Erwägungen</w:t>
      </w:r>
    </w:p>
    <w:p>
      <w:r>
        <w:rPr>
          <w:b/>
        </w:rPr>
        <w:t>E. 4</w:t>
      </w:r>
    </w:p>
    <w:p>
      <w:r>
        <w:t>Das Obergericht hat die 20-jährige Ehe, aus der Kinder hervorgegangen sind und die von einer klassischen Rollenteilung geprägt war, zutreffend als lebensprägend angesehen. Sodann hat es erwogen, diesfalls seien vom Gesamteinkommen der Parteien die beidseitigen Existenzminima abzuziehen und der verbleibende Überschuss hälftig zu teilen. Der Berechnungsmodus der hälftigen Überschussteilung wird bei durchschnittlichen Einkommensverhältnissen üblicherweise für den Ehegattenunterhalt während bestehender Ehe gewählt. Für den nachehelichen Unterhalt ist diese Vorgehensweise jedoch in der Regel unpassend. Wird (bei lebensprägender Ehe) der nacheheliche Unterhalt mit dem ehelichen gleichgesetzt, wie es das Obergericht tut, hätte die Scheidung mit Bezug auf das Unterhaltsrecht gar keine Folgen, sondern würden die Ehegatten ungeachtet der Scheidung in finanzieller Hinsicht lebenslänglich gleichgestellt. Darauf gibt Art. 125 ZGB keinen Anspruch; vielmehr endigt die auf Art. 159 Abs. 3 und Art. 163 Abs. 1 ZGB beruhende eheliche Beistands- und Unterhaltspflicht mit der Scheidung (vgl. auch BGE 127 III 289 E. 2a/aa S. 291). An deren Stelle kann nachehelicher Unterhalt gemäss Art. 125 ZGB treten. Hierfür ist bei lebensprägenden Ehen in folgenden drei Schritten vorzugehen (vgl. Urteil 5C.149/2004 vom 6. Oktober 2004, E. 4.2):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 BGE 132 III 593 E. 3.2 S. 594 f.), der aber gleichzeitig auch die Obergrenze des gebührenden Unterhalts bildet ( BGE 129 III 7 E. 3.1.1 S. 8; Urteil 5C.43/2006 vom 8. Juni 2006, E. 2.2 nicht publ. in BGE 132 III 593 ). Sodann ist zu prüfen, inwiefern die Ehegatten diesen Unterhalt je selber finanzieren können; der Vorrang der Eigenversorgung ergibt sich direkt aus dem Wortlaut von Art. 125 Abs. 1 ZGB . Ist diese einem Ehegatten vorübergehend oder dauerhaft nicht möglich bzw. zumutbar, so BGE 134 III 145 S. 147 dass er auf Unterhaltsleistungen des anderen angewiesen ist, muss in einem dritten Schritt dessen Leistungsfähigkeit ermittelt und ein angemessener Unterhaltsbeitrag festgesetzt werden; dieser beruht auf dem Prinzip der nachehelichen Solidarität (vgl. BGE 127 III 289 E. 2a/aa S. 291; zur Stufenfolge siehe auch Urteil 5C.244/2006 vom 13. April 2007, E. 2.4.1). Entgegen den vorstehenden Ausführungen hat das Obergericht die eheliche Lebenshaltung der Parteien nicht festgestellt. Auch ohne dahingehende ausdrückliche Sachverhaltsfeststellung ist aber klar, dass die Lebenshaltung, die eine Person mit einem Einkommen von Fr. 3'690.- bestreiten kann, nicht tiefer liegt, als diejenige, die sich das Ehepaar oder gar der frühere Vierpersonenhaushalt mit Fr. 5'334.- hat leisten können, zumal davon offenbar auch eine gewisse Sparquote abgezweigt worden ist, wie die Ehefrau in ihrer Vernehmlassung mit Hinweis auf die Bildung von Errungenschaftswerten festhält. Kein wesentlich anderes Bild ergibt sich für die sechsmonatige Übergangszeit bis April 2007, welcher das Obergericht sinngemäss noch ein Einkommen der Ehefrau von Fr. 2'955.- zugrunde gelegt hat. Vermag aber die Ehefrau kraft Eigenversorgung am ehelichen Lebensstandard anzuknüpfen, bleibt kein Raum für nachehelichen Unterhalt. Der angefochtene Entscheid ist demnach aufzuheben und von der Festsetzung nachehelichen Unterhalts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